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42782">
      <w:pPr>
        <w:keepNext w:val="0"/>
        <w:keepLines w:val="0"/>
        <w:widowControl/>
        <w:suppressLineNumbers w:val="0"/>
        <w:jc w:val="left"/>
        <w:rPr>
          <w:rFonts w:hint="eastAsia" w:ascii="黑体" w:hAnsi="黑体" w:eastAsia="黑体" w:cs="黑体"/>
          <w:b/>
          <w:bCs/>
          <w:color w:val="000000"/>
          <w:kern w:val="0"/>
          <w:sz w:val="36"/>
          <w:szCs w:val="36"/>
          <w:lang w:val="en-US" w:eastAsia="zh-CN" w:bidi="ar"/>
        </w:rPr>
      </w:pPr>
      <w:r>
        <w:rPr>
          <w:rFonts w:hint="eastAsia" w:ascii="黑体" w:hAnsi="黑体" w:eastAsia="黑体" w:cs="黑体"/>
          <w:b/>
          <w:bCs/>
          <w:color w:val="000000"/>
          <w:kern w:val="0"/>
          <w:sz w:val="36"/>
          <w:szCs w:val="36"/>
          <w:lang w:val="en-US" w:eastAsia="zh-CN" w:bidi="ar"/>
        </w:rPr>
        <w:t>《庄河市蓉花山镇德兴村村庄规划（2021-2035年）》</w:t>
      </w:r>
    </w:p>
    <w:p w14:paraId="13C9AD52">
      <w:pPr>
        <w:keepNext w:val="0"/>
        <w:keepLines w:val="0"/>
        <w:widowControl/>
        <w:suppressLineNumbers w:val="0"/>
        <w:jc w:val="center"/>
        <w:rPr>
          <w:rFonts w:hint="eastAsia" w:ascii="黑体" w:hAnsi="黑体" w:eastAsia="黑体" w:cs="黑体"/>
          <w:b/>
          <w:bCs/>
          <w:color w:val="000000"/>
          <w:kern w:val="0"/>
          <w:sz w:val="36"/>
          <w:szCs w:val="36"/>
          <w:lang w:val="en-US" w:eastAsia="zh-CN" w:bidi="ar"/>
        </w:rPr>
      </w:pPr>
      <w:r>
        <w:rPr>
          <w:rFonts w:hint="eastAsia" w:ascii="黑体" w:hAnsi="黑体" w:eastAsia="黑体" w:cs="黑体"/>
          <w:b/>
          <w:bCs/>
          <w:color w:val="000000"/>
          <w:kern w:val="0"/>
          <w:sz w:val="36"/>
          <w:szCs w:val="36"/>
          <w:lang w:val="en-US" w:eastAsia="zh-CN" w:bidi="ar"/>
        </w:rPr>
        <w:t>公告</w:t>
      </w:r>
    </w:p>
    <w:p w14:paraId="7A049F9B">
      <w:pPr>
        <w:keepNext w:val="0"/>
        <w:keepLines w:val="0"/>
        <w:widowControl/>
        <w:suppressLineNumbers w:val="0"/>
        <w:jc w:val="left"/>
        <w:rPr>
          <w:rFonts w:hint="eastAsia" w:ascii="黑体" w:hAnsi="黑体" w:eastAsia="黑体" w:cs="黑体"/>
        </w:rPr>
      </w:pPr>
      <w:r>
        <w:rPr>
          <w:rFonts w:hint="eastAsia" w:ascii="黑体" w:hAnsi="黑体" w:eastAsia="黑体" w:cs="黑体"/>
          <w:b/>
          <w:bCs/>
          <w:color w:val="000000"/>
          <w:kern w:val="0"/>
          <w:sz w:val="30"/>
          <w:szCs w:val="30"/>
          <w:lang w:val="en-US" w:eastAsia="zh-CN" w:bidi="ar"/>
        </w:rPr>
        <w:t>一、基本情况</w:t>
      </w:r>
    </w:p>
    <w:p w14:paraId="13E21E75">
      <w:pPr>
        <w:keepNext w:val="0"/>
        <w:keepLines w:val="0"/>
        <w:widowControl/>
        <w:suppressLineNumbers w:val="0"/>
        <w:ind w:firstLine="600" w:firstLineChars="200"/>
        <w:jc w:val="left"/>
        <w:rPr>
          <w:rFonts w:hint="eastAsia" w:ascii="仿宋" w:hAnsi="仿宋" w:eastAsia="仿宋" w:cs="仿宋"/>
          <w:b w:val="0"/>
          <w:bCs w:val="0"/>
          <w:sz w:val="24"/>
        </w:rPr>
      </w:pPr>
      <w:r>
        <w:rPr>
          <w:rFonts w:hint="eastAsia" w:ascii="仿宋" w:hAnsi="仿宋" w:eastAsia="仿宋" w:cs="仿宋"/>
          <w:b w:val="0"/>
          <w:bCs w:val="0"/>
          <w:color w:val="000000"/>
          <w:kern w:val="0"/>
          <w:sz w:val="30"/>
          <w:szCs w:val="30"/>
          <w:lang w:val="en-US" w:eastAsia="zh-CN" w:bidi="ar"/>
        </w:rPr>
        <w:t>1.区域位置</w:t>
      </w:r>
    </w:p>
    <w:p w14:paraId="7D154898">
      <w:pPr>
        <w:spacing w:line="420" w:lineRule="auto"/>
        <w:ind w:firstLine="573"/>
        <w:rPr>
          <w:rFonts w:hint="eastAsia" w:ascii="仿宋" w:hAnsi="仿宋" w:eastAsia="仿宋" w:cs="仿宋"/>
          <w:b w:val="0"/>
          <w:bCs w:val="0"/>
          <w:sz w:val="24"/>
        </w:rPr>
      </w:pPr>
      <w:r>
        <w:rPr>
          <w:rFonts w:hint="eastAsia" w:ascii="仿宋" w:hAnsi="仿宋" w:eastAsia="仿宋" w:cs="仿宋"/>
          <w:b w:val="0"/>
          <w:bCs w:val="0"/>
          <w:color w:val="000000"/>
          <w:kern w:val="0"/>
          <w:sz w:val="30"/>
          <w:szCs w:val="30"/>
          <w:lang w:val="en-US" w:eastAsia="zh-CN" w:bidi="ar"/>
        </w:rPr>
        <w:t>德兴村是庄河市蓉花山镇下辖的行政村，是蓉花山镇政府的所在地。德兴村与大岭村、蓉花村、马家村、职工社区、双岭村、源发村、福阳村、前发村、东义村相邻。庄茧线贯穿村域南北部，是主要对外交通路线。</w:t>
      </w:r>
    </w:p>
    <w:p w14:paraId="349E2276">
      <w:pPr>
        <w:keepNext w:val="0"/>
        <w:keepLines w:val="0"/>
        <w:widowControl/>
        <w:suppressLineNumbers w:val="0"/>
        <w:ind w:firstLine="600" w:firstLineChars="200"/>
        <w:jc w:val="left"/>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2.规划范围</w:t>
      </w:r>
    </w:p>
    <w:p w14:paraId="08665EDA">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本次规划范围为庄河市蓉花山镇德兴村全域，规划国土总面积 1302.00公顷，村域内包含11个自然屯：菜队屯、东道屯、唐窰屯、旭明屯、南兴隆屯、北兴隆屯、娄屯、姜屯、庄沟屯、孙屯、西道屯。</w:t>
      </w:r>
    </w:p>
    <w:p w14:paraId="71898ED6">
      <w:pPr>
        <w:keepNext w:val="0"/>
        <w:keepLines w:val="0"/>
        <w:widowControl/>
        <w:suppressLineNumbers w:val="0"/>
        <w:ind w:firstLine="600" w:firstLineChars="200"/>
        <w:jc w:val="left"/>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3.规划期限 </w:t>
      </w:r>
    </w:p>
    <w:p w14:paraId="094779A3">
      <w:pPr>
        <w:keepNext w:val="0"/>
        <w:keepLines w:val="0"/>
        <w:widowControl/>
        <w:suppressLineNumbers w:val="0"/>
        <w:ind w:firstLine="600" w:firstLineChars="200"/>
        <w:jc w:val="left"/>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规划基期2020年，近期至2025年，远期至2035年。</w:t>
      </w:r>
    </w:p>
    <w:p w14:paraId="10BC648E">
      <w:pPr>
        <w:keepNext w:val="0"/>
        <w:keepLines w:val="0"/>
        <w:widowControl/>
        <w:suppressLineNumbers w:val="0"/>
        <w:jc w:val="left"/>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二、国土空间管控</w:t>
      </w:r>
    </w:p>
    <w:p w14:paraId="736719A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w:t>
      </w:r>
      <w:r>
        <w:rPr>
          <w:rFonts w:hint="default" w:ascii="仿宋" w:hAnsi="仿宋" w:eastAsia="仿宋" w:cs="仿宋"/>
          <w:b w:val="0"/>
          <w:bCs w:val="0"/>
          <w:color w:val="000000"/>
          <w:kern w:val="0"/>
          <w:sz w:val="30"/>
          <w:szCs w:val="30"/>
          <w:lang w:val="en-US" w:eastAsia="zh-CN" w:bidi="ar"/>
        </w:rPr>
        <w:t>大连市</w:t>
      </w:r>
      <w:r>
        <w:rPr>
          <w:rFonts w:hint="eastAsia" w:ascii="仿宋" w:hAnsi="仿宋" w:eastAsia="仿宋" w:cs="仿宋"/>
          <w:b w:val="0"/>
          <w:bCs w:val="0"/>
          <w:color w:val="000000"/>
          <w:kern w:val="0"/>
          <w:sz w:val="30"/>
          <w:szCs w:val="30"/>
          <w:lang w:val="en-US" w:eastAsia="zh-CN" w:bidi="ar"/>
        </w:rPr>
        <w:t>庄河市蓉花山镇</w:t>
      </w:r>
      <w:r>
        <w:rPr>
          <w:rFonts w:hint="default" w:ascii="仿宋" w:hAnsi="仿宋" w:eastAsia="仿宋" w:cs="仿宋"/>
          <w:b w:val="0"/>
          <w:bCs w:val="0"/>
          <w:color w:val="000000"/>
          <w:kern w:val="0"/>
          <w:sz w:val="30"/>
          <w:szCs w:val="30"/>
          <w:lang w:val="en-US" w:eastAsia="zh-CN" w:bidi="ar"/>
        </w:rPr>
        <w:t>国土空间总体规划</w:t>
      </w:r>
      <w:r>
        <w:rPr>
          <w:rFonts w:hint="eastAsia" w:ascii="仿宋" w:hAnsi="仿宋" w:eastAsia="仿宋" w:cs="仿宋"/>
          <w:b w:val="0"/>
          <w:bCs w:val="0"/>
          <w:color w:val="000000"/>
          <w:kern w:val="0"/>
          <w:sz w:val="30"/>
          <w:szCs w:val="30"/>
          <w:lang w:val="en-US" w:eastAsia="zh-CN" w:bidi="ar"/>
        </w:rPr>
        <w:t>（2021-2035）》，德兴村为城镇型社区，划分为城郊融合类村庄。明确德兴村2035年乡村常住人口约1400人。约束性指标包括：永久基本农田面积：327.52公顷，耕地保有量面积：389.92 公顷，生态保护红线面积：107.35 公顷，湿地面积：30.60 公顷，村庄建设边界面积：91.82 公顷。</w:t>
      </w:r>
    </w:p>
    <w:p w14:paraId="264153B1">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1.保障农业空间 </w:t>
      </w:r>
    </w:p>
    <w:p w14:paraId="0AD7655D">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农业空间包括耕地、园地、设施农用地等。村域规划形成柞蚕养殖片区、设施果业发展片区和一般农业发展片区。</w:t>
      </w:r>
    </w:p>
    <w:p w14:paraId="3984FD23">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统筹安排农业发展空间，坚持农地农用，稳定粮食播种面积，鼓励发展多功能复合、多业态融合的绿色高效农业。一般农业空间面积约242.16公顷，重点发展果蔬种植业、柞蚕养殖业，引导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21FDD7D7">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分类优化设置田间道，具有农田耕作、农业物资运输等现代化农业生产功能的田间道，道路宽度宜控制在3-6米；以步行功能为主的生产路，宽度控制1.5-3米；同时可结合休闲旅游节点设置慢行步道。</w:t>
      </w:r>
    </w:p>
    <w:p w14:paraId="50813FF5">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2.保护生态空间 </w:t>
      </w:r>
    </w:p>
    <w:p w14:paraId="2B2C4FF4">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严守生态保护底线，严格落实上位规划传导的生态红线，德兴村生态红线主要类型为水土保持功能，总面积约107.35公顷，主要位于德兴村村域西侧地区。将生态保护红线以外集中连片的林地、河流划入一般生态空间。</w:t>
      </w:r>
    </w:p>
    <w:p w14:paraId="7B26D2BB">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湿地保护。落实上位规划确定的湿地面积约30.60公顷，严格管控湿地活动，禁止开垦、填埋、排干湿地，永久性截断湿地水源，向湿地超标排放污染物等破坏湿地的行为。</w:t>
      </w:r>
    </w:p>
    <w:p w14:paraId="6E645F5B">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林地保护。落实上位规划下达的林地保有量指标和保护要求，东义村无绿化造林图斑。</w:t>
      </w:r>
    </w:p>
    <w:p w14:paraId="1B2CBA1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3.优化建设空间</w:t>
      </w:r>
    </w:p>
    <w:p w14:paraId="3B1EDFD3">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w:t>
      </w:r>
      <w:r>
        <w:rPr>
          <w:rFonts w:hint="default" w:ascii="仿宋" w:hAnsi="仿宋" w:eastAsia="仿宋" w:cs="仿宋"/>
          <w:b w:val="0"/>
          <w:bCs w:val="0"/>
          <w:color w:val="000000"/>
          <w:kern w:val="0"/>
          <w:sz w:val="30"/>
          <w:szCs w:val="30"/>
          <w:lang w:val="en-US" w:eastAsia="zh-CN" w:bidi="ar"/>
        </w:rPr>
        <w:t>大连市</w:t>
      </w:r>
      <w:r>
        <w:rPr>
          <w:rFonts w:hint="eastAsia" w:ascii="仿宋" w:hAnsi="仿宋" w:eastAsia="仿宋" w:cs="仿宋"/>
          <w:b w:val="0"/>
          <w:bCs w:val="0"/>
          <w:color w:val="000000"/>
          <w:kern w:val="0"/>
          <w:sz w:val="30"/>
          <w:szCs w:val="30"/>
          <w:lang w:val="en-US" w:eastAsia="zh-CN" w:bidi="ar"/>
        </w:rPr>
        <w:t>庄河市蓉花山镇</w:t>
      </w:r>
      <w:r>
        <w:rPr>
          <w:rFonts w:hint="default" w:ascii="仿宋" w:hAnsi="仿宋" w:eastAsia="仿宋" w:cs="仿宋"/>
          <w:b w:val="0"/>
          <w:bCs w:val="0"/>
          <w:color w:val="000000"/>
          <w:kern w:val="0"/>
          <w:sz w:val="30"/>
          <w:szCs w:val="30"/>
          <w:lang w:val="en-US" w:eastAsia="zh-CN" w:bidi="ar"/>
        </w:rPr>
        <w:t>国土空间总体规划</w:t>
      </w:r>
      <w:r>
        <w:rPr>
          <w:rFonts w:hint="eastAsia" w:ascii="仿宋" w:hAnsi="仿宋" w:eastAsia="仿宋" w:cs="仿宋"/>
          <w:b w:val="0"/>
          <w:bCs w:val="0"/>
          <w:color w:val="000000"/>
          <w:kern w:val="0"/>
          <w:sz w:val="30"/>
          <w:szCs w:val="30"/>
          <w:lang w:val="en-US" w:eastAsia="zh-CN" w:bidi="ar"/>
        </w:rPr>
        <w:t>（2021-2035）》，德兴村村庄建设边界面积：91.82 公顷。</w:t>
      </w:r>
    </w:p>
    <w:p w14:paraId="71A53BCF">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指标传导及乡村地区人口变化趋势，德兴村建设用地以存量盘活利用为主，新增空间较少。少量新增用地主要为落实上位规划传导的一二三产融合项目，位于西道屯新建村级综合服务设施，补充蓉花山中心幼儿园面积，在西道屯</w:t>
      </w:r>
      <w:bookmarkStart w:id="0" w:name="_GoBack"/>
      <w:bookmarkEnd w:id="0"/>
      <w:r>
        <w:rPr>
          <w:rFonts w:hint="eastAsia" w:ascii="仿宋" w:hAnsi="仿宋" w:eastAsia="仿宋" w:cs="仿宋"/>
          <w:b w:val="0"/>
          <w:bCs w:val="0"/>
          <w:color w:val="000000"/>
          <w:kern w:val="0"/>
          <w:sz w:val="30"/>
          <w:szCs w:val="30"/>
          <w:lang w:val="en-US" w:eastAsia="zh-CN" w:bidi="ar"/>
        </w:rPr>
        <w:t>规划一处停车场，各屯根据现状用地情况规划期末新建广场6处。主要为新增商业服务设施、基础设施提供空间。引导零散农村居民点集聚。</w:t>
      </w:r>
    </w:p>
    <w:p w14:paraId="46A50767">
      <w:pPr>
        <w:keepNext w:val="0"/>
        <w:keepLines w:val="0"/>
        <w:widowControl/>
        <w:suppressLineNumbers w:val="0"/>
        <w:jc w:val="left"/>
      </w:pPr>
      <w:r>
        <w:rPr>
          <w:rFonts w:ascii="黑体" w:hAnsi="宋体" w:eastAsia="黑体" w:cs="黑体"/>
          <w:b/>
          <w:bCs/>
          <w:color w:val="000000"/>
          <w:kern w:val="0"/>
          <w:sz w:val="30"/>
          <w:szCs w:val="30"/>
          <w:lang w:val="en-US" w:eastAsia="zh-CN" w:bidi="ar"/>
        </w:rPr>
        <w:t>三、村域空间发展规划</w:t>
      </w:r>
    </w:p>
    <w:p w14:paraId="124C48B5">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1.产业发展 </w:t>
      </w:r>
    </w:p>
    <w:p w14:paraId="4D702EB6">
      <w:pPr>
        <w:keepNext w:val="0"/>
        <w:keepLines w:val="0"/>
        <w:pageBreakBefore w:val="0"/>
        <w:widowControl/>
        <w:kinsoku/>
        <w:wordWrap/>
        <w:overflowPunct/>
        <w:topLinePunct w:val="0"/>
        <w:autoSpaceDE/>
        <w:autoSpaceDN/>
        <w:bidi w:val="0"/>
        <w:adjustRightInd/>
        <w:snapToGrid/>
        <w:spacing w:line="560" w:lineRule="exact"/>
        <w:ind w:left="0" w:right="0" w:firstLine="600" w:firstLineChars="200"/>
        <w:jc w:val="left"/>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德兴村依托传统村落风貌和自然山水格局，发展以山水休闲观光旅游为主的特色旅游乡村；发挥自身果品资源和水源资源优势，以果品经济和特色生态农业为主，建立“种+养，产+销，商+游”全产业链一体化生态农业示范基地。</w:t>
      </w:r>
    </w:p>
    <w:p w14:paraId="58F4D69B">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2.人口规模 </w:t>
      </w:r>
    </w:p>
    <w:p w14:paraId="01DFCCEF">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至规划期末2035年，常住人口估算约14</w:t>
      </w:r>
      <w:r>
        <w:rPr>
          <w:rFonts w:hint="default" w:ascii="仿宋" w:hAnsi="仿宋" w:eastAsia="仿宋" w:cs="仿宋"/>
          <w:b w:val="0"/>
          <w:bCs w:val="0"/>
          <w:color w:val="000000"/>
          <w:kern w:val="0"/>
          <w:sz w:val="30"/>
          <w:szCs w:val="30"/>
          <w:lang w:val="en-US" w:eastAsia="zh-CN" w:bidi="ar"/>
        </w:rPr>
        <w:t>00</w:t>
      </w:r>
      <w:r>
        <w:rPr>
          <w:rFonts w:hint="eastAsia" w:ascii="仿宋" w:hAnsi="仿宋" w:eastAsia="仿宋" w:cs="仿宋"/>
          <w:b w:val="0"/>
          <w:bCs w:val="0"/>
          <w:color w:val="000000"/>
          <w:kern w:val="0"/>
          <w:sz w:val="30"/>
          <w:szCs w:val="30"/>
          <w:lang w:val="en-US" w:eastAsia="zh-CN" w:bidi="ar"/>
        </w:rPr>
        <w:t>人。</w:t>
      </w:r>
    </w:p>
    <w:p w14:paraId="4F0D9A4E">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3.空间发展布局 </w:t>
      </w:r>
    </w:p>
    <w:p w14:paraId="4F19F4E0">
      <w:pPr>
        <w:keepNext w:val="0"/>
        <w:keepLines w:val="0"/>
        <w:pageBreakBefore w:val="0"/>
        <w:widowControl/>
        <w:kinsoku/>
        <w:wordWrap/>
        <w:overflowPunct/>
        <w:topLinePunct w:val="0"/>
        <w:autoSpaceDE/>
        <w:autoSpaceDN/>
        <w:bidi w:val="0"/>
        <w:adjustRightInd/>
        <w:snapToGrid/>
        <w:spacing w:line="560" w:lineRule="exact"/>
        <w:ind w:left="0" w:right="0" w:firstLine="600" w:firstLineChars="200"/>
        <w:jc w:val="left"/>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结合农业资源和林地资源分布以及现状产业布局，科学划定产业功能分区，规划形成“一心，两轴，五片区”的第一、第三产业空间布局，促进生产经营适度规模化、集中化布局。</w:t>
      </w:r>
    </w:p>
    <w:p w14:paraId="6FBBC38D">
      <w:pPr>
        <w:keepNext w:val="0"/>
        <w:keepLines w:val="0"/>
        <w:pageBreakBefore w:val="0"/>
        <w:widowControl/>
        <w:kinsoku/>
        <w:wordWrap/>
        <w:overflowPunct/>
        <w:topLinePunct w:val="0"/>
        <w:autoSpaceDE/>
        <w:autoSpaceDN/>
        <w:bidi w:val="0"/>
        <w:adjustRightInd/>
        <w:snapToGrid/>
        <w:spacing w:line="560" w:lineRule="exact"/>
        <w:ind w:left="0" w:right="0" w:firstLine="600" w:firstLineChars="200"/>
        <w:jc w:val="left"/>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“一心” ：综合服务发展中心，位于村委会周围，为德兴村村民生活服务中心。</w:t>
      </w:r>
    </w:p>
    <w:p w14:paraId="5BC0A10D">
      <w:pPr>
        <w:keepNext w:val="0"/>
        <w:keepLines w:val="0"/>
        <w:pageBreakBefore w:val="0"/>
        <w:widowControl/>
        <w:kinsoku/>
        <w:wordWrap/>
        <w:overflowPunct/>
        <w:topLinePunct w:val="0"/>
        <w:autoSpaceDE/>
        <w:autoSpaceDN/>
        <w:bidi w:val="0"/>
        <w:adjustRightInd/>
        <w:snapToGrid/>
        <w:spacing w:line="560" w:lineRule="exact"/>
        <w:ind w:left="0" w:right="0" w:firstLine="600" w:firstLineChars="200"/>
        <w:jc w:val="left"/>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“两轴” ：南北发展轴线（庄茧线）是主要发展轴线，东西发展轴（兴东线）是次要发展轴线。</w:t>
      </w:r>
    </w:p>
    <w:p w14:paraId="2F88E069">
      <w:pPr>
        <w:keepNext w:val="0"/>
        <w:keepLines w:val="0"/>
        <w:pageBreakBefore w:val="0"/>
        <w:widowControl/>
        <w:kinsoku/>
        <w:wordWrap/>
        <w:overflowPunct/>
        <w:topLinePunct w:val="0"/>
        <w:autoSpaceDE/>
        <w:autoSpaceDN/>
        <w:bidi w:val="0"/>
        <w:adjustRightInd/>
        <w:snapToGrid/>
        <w:spacing w:line="560" w:lineRule="exact"/>
        <w:ind w:left="0" w:right="0" w:firstLine="600" w:firstLineChars="200"/>
        <w:jc w:val="left"/>
        <w:textAlignment w:val="auto"/>
        <w:rPr>
          <w:rFonts w:hint="eastAsia" w:ascii="仿宋" w:hAnsi="仿宋" w:eastAsia="仿宋" w:cs="仿宋"/>
          <w:color w:val="000000"/>
          <w:sz w:val="30"/>
          <w:szCs w:val="30"/>
          <w:highlight w:val="none"/>
          <w:lang w:val="en-US" w:eastAsia="zh-CN"/>
        </w:rPr>
      </w:pPr>
      <w:r>
        <w:rPr>
          <w:rFonts w:hint="eastAsia" w:ascii="仿宋" w:hAnsi="仿宋" w:eastAsia="仿宋" w:cs="仿宋"/>
          <w:color w:val="000000"/>
          <w:sz w:val="30"/>
          <w:szCs w:val="30"/>
          <w:highlight w:val="none"/>
          <w:lang w:val="en-US" w:eastAsia="zh-CN"/>
        </w:rPr>
        <w:t xml:space="preserve"> “五片区” ：柞蚕养殖片区（2个）、设施果业片区、一般农业发展片区、第三产业发展片区。</w:t>
      </w:r>
    </w:p>
    <w:p w14:paraId="726453FA">
      <w:pPr>
        <w:keepNext w:val="0"/>
        <w:keepLines w:val="0"/>
        <w:widowControl/>
        <w:suppressLineNumbers w:val="0"/>
        <w:jc w:val="left"/>
      </w:pPr>
      <w:r>
        <w:rPr>
          <w:rFonts w:ascii="黑体" w:hAnsi="宋体" w:eastAsia="黑体" w:cs="黑体"/>
          <w:b/>
          <w:bCs/>
          <w:color w:val="000000"/>
          <w:kern w:val="0"/>
          <w:sz w:val="30"/>
          <w:szCs w:val="30"/>
          <w:lang w:val="en-US" w:eastAsia="zh-CN" w:bidi="ar"/>
        </w:rPr>
        <w:t>四、人居环境整治规划</w:t>
      </w:r>
    </w:p>
    <w:p w14:paraId="3D1FF21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人居环境整治主要对象是规划中已经集中布局的村庄居民点，结合农民生产生活方式，从道路环境整治、重点区域亮化、净化整治、绿化景观整治、边沟整治等角度对村庄人居环境进行规划设计。</w:t>
      </w:r>
    </w:p>
    <w:p w14:paraId="1DB2B03D">
      <w:pPr>
        <w:keepNext w:val="0"/>
        <w:keepLines w:val="0"/>
        <w:widowControl/>
        <w:suppressLineNumbers w:val="0"/>
        <w:jc w:val="left"/>
      </w:pPr>
      <w:r>
        <w:rPr>
          <w:rFonts w:ascii="黑体" w:hAnsi="宋体" w:eastAsia="黑体" w:cs="黑体"/>
          <w:b/>
          <w:bCs/>
          <w:color w:val="000000"/>
          <w:kern w:val="0"/>
          <w:sz w:val="30"/>
          <w:szCs w:val="30"/>
          <w:lang w:val="en-US" w:eastAsia="zh-CN" w:bidi="ar"/>
        </w:rPr>
        <w:t>五、近期整治规划</w:t>
      </w:r>
    </w:p>
    <w:p w14:paraId="32EDC4B5">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针对</w:t>
      </w:r>
      <w:r>
        <w:rPr>
          <w:rFonts w:hint="eastAsia" w:ascii="仿宋" w:hAnsi="仿宋" w:eastAsia="仿宋" w:cs="仿宋"/>
          <w:color w:val="000000"/>
          <w:sz w:val="30"/>
          <w:szCs w:val="30"/>
          <w:highlight w:val="none"/>
          <w:lang w:val="en-US" w:eastAsia="zh-CN"/>
        </w:rPr>
        <w:t>德兴村</w:t>
      </w:r>
      <w:r>
        <w:rPr>
          <w:rFonts w:hint="eastAsia" w:ascii="仿宋" w:hAnsi="仿宋" w:eastAsia="仿宋" w:cs="仿宋"/>
          <w:b w:val="0"/>
          <w:bCs w:val="0"/>
          <w:color w:val="000000"/>
          <w:kern w:val="0"/>
          <w:sz w:val="30"/>
          <w:szCs w:val="30"/>
          <w:lang w:val="en-US" w:eastAsia="zh-CN" w:bidi="ar"/>
        </w:rPr>
        <w:t>实际建设需求、居民生产生活和生态保护面临的迫切问题，近期重点从公共服务设施、商业服务设施、公用设施、道路工程、人居环境等方面建设项目，主要增加项目包括中心幼儿园、村级综合服务设施、卫生服务站、健身广场、停车场、数字樱桃园等。</w:t>
      </w:r>
    </w:p>
    <w:p w14:paraId="1A3597BD">
      <w:pPr>
        <w:spacing w:line="420" w:lineRule="auto"/>
        <w:ind w:firstLine="573"/>
        <w:rPr>
          <w:rFonts w:hint="eastAsia" w:ascii="仿宋" w:hAnsi="仿宋" w:eastAsia="仿宋" w:cs="仿宋"/>
          <w:b w:val="0"/>
          <w:bCs w:val="0"/>
          <w:color w:val="000000"/>
          <w:kern w:val="0"/>
          <w:sz w:val="30"/>
          <w:szCs w:val="30"/>
          <w:lang w:val="en-US" w:eastAsia="zh-CN" w:bidi="ar"/>
        </w:rPr>
      </w:pPr>
    </w:p>
    <w:p w14:paraId="79BD3711">
      <w:pPr>
        <w:spacing w:line="420" w:lineRule="auto"/>
        <w:ind w:firstLine="573"/>
        <w:rPr>
          <w:rFonts w:hint="eastAsia" w:ascii="仿宋" w:hAnsi="仿宋" w:eastAsia="仿宋" w:cs="仿宋"/>
          <w:b w:val="0"/>
          <w:bCs w:val="0"/>
          <w:color w:val="000000"/>
          <w:kern w:val="0"/>
          <w:sz w:val="30"/>
          <w:szCs w:val="30"/>
          <w:lang w:val="en-US" w:eastAsia="zh-CN" w:bidi="ar"/>
        </w:rPr>
      </w:pPr>
    </w:p>
    <w:p w14:paraId="12AC4609">
      <w:pPr>
        <w:spacing w:line="420" w:lineRule="auto"/>
        <w:ind w:firstLine="573"/>
        <w:rPr>
          <w:rFonts w:hint="eastAsia" w:ascii="仿宋" w:hAnsi="仿宋" w:eastAsia="仿宋" w:cs="仿宋"/>
          <w:b w:val="0"/>
          <w:bCs w:val="0"/>
          <w:color w:val="000000"/>
          <w:kern w:val="0"/>
          <w:sz w:val="30"/>
          <w:szCs w:val="30"/>
          <w:lang w:val="en-US" w:eastAsia="zh-CN" w:bidi="ar"/>
        </w:rPr>
      </w:pPr>
    </w:p>
    <w:p w14:paraId="4FA4D283">
      <w:pPr>
        <w:keepNext w:val="0"/>
        <w:keepLines w:val="0"/>
        <w:widowControl/>
        <w:suppressLineNumbers w:val="0"/>
        <w:jc w:val="left"/>
      </w:pPr>
      <w:r>
        <w:rPr>
          <w:rFonts w:ascii="黑体" w:hAnsi="宋体" w:eastAsia="黑体" w:cs="黑体"/>
          <w:b/>
          <w:bCs/>
          <w:color w:val="000000"/>
          <w:kern w:val="0"/>
          <w:sz w:val="30"/>
          <w:szCs w:val="30"/>
          <w:lang w:val="en-US" w:eastAsia="zh-CN" w:bidi="ar"/>
        </w:rPr>
        <w:t>六、附图</w:t>
      </w:r>
    </w:p>
    <w:p w14:paraId="1E699CFE">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1.区位图</w:t>
      </w:r>
    </w:p>
    <w:p w14:paraId="0B3F758F">
      <w:pPr>
        <w:spacing w:line="420" w:lineRule="auto"/>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drawing>
          <wp:inline distT="0" distB="0" distL="114300" distR="114300">
            <wp:extent cx="7519035" cy="5316855"/>
            <wp:effectExtent l="0" t="0" r="17145" b="5715"/>
            <wp:docPr id="1" name="图片 1" descr="01区域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区域分析图"/>
                    <pic:cNvPicPr>
                      <a:picLocks noChangeAspect="1"/>
                    </pic:cNvPicPr>
                  </pic:nvPicPr>
                  <pic:blipFill>
                    <a:blip r:embed="rId5"/>
                    <a:stretch>
                      <a:fillRect/>
                    </a:stretch>
                  </pic:blipFill>
                  <pic:spPr>
                    <a:xfrm rot="16200000">
                      <a:off x="0" y="0"/>
                      <a:ext cx="7519035" cy="5316855"/>
                    </a:xfrm>
                    <a:prstGeom prst="rect">
                      <a:avLst/>
                    </a:prstGeom>
                  </pic:spPr>
                </pic:pic>
              </a:graphicData>
            </a:graphic>
          </wp:inline>
        </w:drawing>
      </w:r>
    </w:p>
    <w:p w14:paraId="4F5C6BAB">
      <w:pPr>
        <w:spacing w:line="420" w:lineRule="auto"/>
        <w:ind w:firstLine="573"/>
        <w:rPr>
          <w:rFonts w:hint="eastAsia" w:ascii="仿宋" w:hAnsi="仿宋" w:eastAsia="仿宋" w:cs="仿宋"/>
          <w:b w:val="0"/>
          <w:bCs w:val="0"/>
          <w:color w:val="000000"/>
          <w:kern w:val="0"/>
          <w:sz w:val="30"/>
          <w:szCs w:val="30"/>
          <w:lang w:val="en-US" w:eastAsia="zh-CN" w:bidi="ar"/>
        </w:rPr>
      </w:pPr>
    </w:p>
    <w:p w14:paraId="4C430321">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2.各类控制线管控图</w:t>
      </w:r>
    </w:p>
    <w:p w14:paraId="798699F9">
      <w:pPr>
        <w:spacing w:line="420" w:lineRule="auto"/>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drawing>
          <wp:inline distT="0" distB="0" distL="114300" distR="114300">
            <wp:extent cx="7545070" cy="5335270"/>
            <wp:effectExtent l="0" t="0" r="17780" b="17780"/>
            <wp:docPr id="3" name="图片 3" descr="10各类控制线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各类控制线管控图"/>
                    <pic:cNvPicPr>
                      <a:picLocks noChangeAspect="1"/>
                    </pic:cNvPicPr>
                  </pic:nvPicPr>
                  <pic:blipFill>
                    <a:blip r:embed="rId6"/>
                    <a:stretch>
                      <a:fillRect/>
                    </a:stretch>
                  </pic:blipFill>
                  <pic:spPr>
                    <a:xfrm rot="16200000">
                      <a:off x="0" y="0"/>
                      <a:ext cx="7545070" cy="5335270"/>
                    </a:xfrm>
                    <a:prstGeom prst="rect">
                      <a:avLst/>
                    </a:prstGeom>
                  </pic:spPr>
                </pic:pic>
              </a:graphicData>
            </a:graphic>
          </wp:inline>
        </w:drawing>
      </w:r>
    </w:p>
    <w:p w14:paraId="0F5E668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000000"/>
          <w:sz w:val="30"/>
          <w:szCs w:val="30"/>
          <w:highlight w:val="none"/>
          <w:lang w:val="en-US" w:eastAsia="zh-CN"/>
        </w:rPr>
      </w:pPr>
    </w:p>
    <w:p w14:paraId="1F455756">
      <w:pPr>
        <w:rPr>
          <w:rFonts w:hint="eastAsia" w:ascii="仿宋" w:hAnsi="仿宋" w:eastAsia="仿宋" w:cs="仿宋"/>
        </w:rPr>
      </w:pPr>
    </w:p>
    <w:p w14:paraId="2765E51E">
      <w:pPr>
        <w:rPr>
          <w:rFonts w:hint="eastAsia" w:ascii="仿宋" w:hAnsi="仿宋" w:eastAsia="仿宋" w:cs="仿宋"/>
        </w:rPr>
      </w:pPr>
    </w:p>
    <w:p w14:paraId="2AFFBEC6">
      <w:pPr>
        <w:rPr>
          <w:rFonts w:hint="eastAsia" w:ascii="仿宋" w:hAnsi="仿宋" w:eastAsia="仿宋" w:cs="仿宋"/>
        </w:rPr>
      </w:pPr>
    </w:p>
    <w:p w14:paraId="17C20722">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3.村域国土空间规划图</w:t>
      </w:r>
    </w:p>
    <w:p w14:paraId="726971F3">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7558405" cy="5344795"/>
            <wp:effectExtent l="0" t="0" r="8255" b="4445"/>
            <wp:docPr id="4" name="图片 4" descr="1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村域国土空间规划图"/>
                    <pic:cNvPicPr>
                      <a:picLocks noChangeAspect="1"/>
                    </pic:cNvPicPr>
                  </pic:nvPicPr>
                  <pic:blipFill>
                    <a:blip r:embed="rId7"/>
                    <a:stretch>
                      <a:fillRect/>
                    </a:stretch>
                  </pic:blipFill>
                  <pic:spPr>
                    <a:xfrm rot="16200000">
                      <a:off x="0" y="0"/>
                      <a:ext cx="7558405" cy="5344795"/>
                    </a:xfrm>
                    <a:prstGeom prst="rect">
                      <a:avLst/>
                    </a:prstGeom>
                  </pic:spPr>
                </pic:pic>
              </a:graphicData>
            </a:graphic>
          </wp:inline>
        </w:drawing>
      </w:r>
    </w:p>
    <w:p w14:paraId="144682C9">
      <w:pPr>
        <w:rPr>
          <w:rFonts w:hint="eastAsia" w:ascii="仿宋" w:hAnsi="仿宋" w:eastAsia="仿宋" w:cs="仿宋"/>
          <w:lang w:eastAsia="zh-CN"/>
        </w:rPr>
      </w:pPr>
    </w:p>
    <w:p w14:paraId="62FAC932">
      <w:pPr>
        <w:rPr>
          <w:rFonts w:hint="eastAsia" w:ascii="仿宋" w:hAnsi="仿宋" w:eastAsia="仿宋" w:cs="仿宋"/>
          <w:lang w:eastAsia="zh-CN"/>
        </w:rPr>
      </w:pPr>
    </w:p>
    <w:p w14:paraId="30E30EAB">
      <w:pPr>
        <w:rPr>
          <w:rFonts w:hint="eastAsia" w:ascii="仿宋" w:hAnsi="仿宋" w:eastAsia="仿宋" w:cs="仿宋"/>
          <w:lang w:eastAsia="zh-CN"/>
        </w:rPr>
      </w:pPr>
    </w:p>
    <w:p w14:paraId="20A2F50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4.产业空间发展引导图</w:t>
      </w:r>
    </w:p>
    <w:p w14:paraId="1CFB6D67">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7441565" cy="5262245"/>
            <wp:effectExtent l="0" t="0" r="14605" b="6985"/>
            <wp:docPr id="5" name="图片 5" descr="14产业空间发展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产业空间发展导图"/>
                    <pic:cNvPicPr>
                      <a:picLocks noChangeAspect="1"/>
                    </pic:cNvPicPr>
                  </pic:nvPicPr>
                  <pic:blipFill>
                    <a:blip r:embed="rId8"/>
                    <a:stretch>
                      <a:fillRect/>
                    </a:stretch>
                  </pic:blipFill>
                  <pic:spPr>
                    <a:xfrm rot="16200000">
                      <a:off x="0" y="0"/>
                      <a:ext cx="7441565" cy="5262245"/>
                    </a:xfrm>
                    <a:prstGeom prst="rect">
                      <a:avLst/>
                    </a:prstGeom>
                  </pic:spPr>
                </pic:pic>
              </a:graphicData>
            </a:graphic>
          </wp:inline>
        </w:drawing>
      </w:r>
    </w:p>
    <w:p w14:paraId="0C6B61AC">
      <w:pPr>
        <w:rPr>
          <w:rFonts w:hint="eastAsia" w:ascii="仿宋" w:hAnsi="仿宋" w:eastAsia="仿宋" w:cs="仿宋"/>
          <w:lang w:eastAsia="zh-CN"/>
        </w:rPr>
      </w:pPr>
    </w:p>
    <w:p w14:paraId="05067895">
      <w:pPr>
        <w:rPr>
          <w:rFonts w:hint="eastAsia" w:ascii="仿宋" w:hAnsi="仿宋" w:eastAsia="仿宋" w:cs="仿宋"/>
          <w:lang w:eastAsia="zh-CN"/>
        </w:rPr>
      </w:pPr>
    </w:p>
    <w:p w14:paraId="52D23398">
      <w:pPr>
        <w:rPr>
          <w:rFonts w:hint="eastAsia" w:ascii="仿宋" w:hAnsi="仿宋" w:eastAsia="仿宋" w:cs="仿宋"/>
          <w:lang w:eastAsia="zh-CN"/>
        </w:rPr>
      </w:pPr>
    </w:p>
    <w:p w14:paraId="0614DB50">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5.村民版规划图</w:t>
      </w:r>
    </w:p>
    <w:p w14:paraId="26E9D46D">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7571740" cy="5354320"/>
            <wp:effectExtent l="0" t="0" r="17780" b="10160"/>
            <wp:docPr id="6" name="图片 6" descr="35村民版规划成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村民版规划成果示意图"/>
                    <pic:cNvPicPr>
                      <a:picLocks noChangeAspect="1"/>
                    </pic:cNvPicPr>
                  </pic:nvPicPr>
                  <pic:blipFill>
                    <a:blip r:embed="rId9"/>
                    <a:stretch>
                      <a:fillRect/>
                    </a:stretch>
                  </pic:blipFill>
                  <pic:spPr>
                    <a:xfrm rot="16200000">
                      <a:off x="0" y="0"/>
                      <a:ext cx="7571740" cy="5354320"/>
                    </a:xfrm>
                    <a:prstGeom prst="rect">
                      <a:avLst/>
                    </a:prstGeom>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1275F">
    <w:pPr>
      <w:pStyle w:val="2"/>
    </w:pPr>
  </w:p>
  <w:p w14:paraId="05E8A63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40D8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3840D8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89003E"/>
    <w:rsid w:val="01D40883"/>
    <w:rsid w:val="058368B9"/>
    <w:rsid w:val="321C3512"/>
    <w:rsid w:val="32CA1FB9"/>
    <w:rsid w:val="32FC6012"/>
    <w:rsid w:val="3CDF4B1B"/>
    <w:rsid w:val="3DA709A2"/>
    <w:rsid w:val="423D5A66"/>
    <w:rsid w:val="4E596E89"/>
    <w:rsid w:val="54171005"/>
    <w:rsid w:val="581D5CC6"/>
    <w:rsid w:val="59C96098"/>
    <w:rsid w:val="602821CF"/>
    <w:rsid w:val="671C5D01"/>
    <w:rsid w:val="6A9043A3"/>
    <w:rsid w:val="6ED75294"/>
    <w:rsid w:val="6F70294E"/>
    <w:rsid w:val="70CD5DAB"/>
    <w:rsid w:val="710B44B6"/>
    <w:rsid w:val="7989003E"/>
    <w:rsid w:val="7FD0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1764</Words>
  <Characters>1877</Characters>
  <Lines>0</Lines>
  <Paragraphs>0</Paragraphs>
  <TotalTime>1</TotalTime>
  <ScaleCrop>false</ScaleCrop>
  <LinksUpToDate>false</LinksUpToDate>
  <CharactersWithSpaces>1893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2025-07-15T07:10:00Z</dcterms:created>
  <dc:creator>小超子，长肉吧！</dc:creator>
  <cp:lastModifiedBy>小超子，长肉吧！</cp:lastModifiedBy>
  <dcterms:modified xsi:type="dcterms:W3CDTF">2025-07-16T01:19:48Z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FC7EF183BE6649EA8C3905E1E42C982A_13</vt:lpwstr>
  </property>
  <property fmtid="{D5CDD505-2E9C-101B-9397-08002B2CF9AE}" pid="4" name="KSOTemplateDocerSaveRecord">
    <vt:lpwstr>eyJoZGlkIjoiMDk3ZDA2NjRjMWE2YmMxMzkyNGIzZTQ3OGYzMTY2NzgiLCJ1c2VySWQiOiI0NDE3MzYzMjEifQ==</vt:lpwstr>
  </property>
</Properties>
</file>